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10EC" w14:textId="77777777" w:rsidR="00A83491" w:rsidRPr="008B3C73" w:rsidRDefault="00A83491" w:rsidP="00A83491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8B3C73">
        <w:rPr>
          <w:rFonts w:cs="Times New Roman"/>
          <w:b/>
          <w:sz w:val="22"/>
          <w:szCs w:val="22"/>
        </w:rPr>
        <w:t>Pacific Herring Working Group, Meeting #3</w:t>
      </w:r>
    </w:p>
    <w:p w14:paraId="6E442026" w14:textId="77777777" w:rsidR="00A83491" w:rsidRPr="008B3C73" w:rsidRDefault="00A83491" w:rsidP="00A83491">
      <w:pPr>
        <w:jc w:val="center"/>
        <w:rPr>
          <w:rFonts w:cs="Times New Roman"/>
          <w:b/>
          <w:sz w:val="22"/>
          <w:szCs w:val="22"/>
        </w:rPr>
      </w:pPr>
      <w:r w:rsidRPr="008B3C73">
        <w:rPr>
          <w:rFonts w:cs="Times New Roman"/>
          <w:b/>
          <w:sz w:val="22"/>
          <w:szCs w:val="22"/>
        </w:rPr>
        <w:t>August 23-25, 2016</w:t>
      </w:r>
    </w:p>
    <w:p w14:paraId="469239BB" w14:textId="77777777" w:rsidR="00A83491" w:rsidRPr="008B3C73" w:rsidRDefault="00A83491" w:rsidP="00A83491">
      <w:pPr>
        <w:jc w:val="center"/>
        <w:rPr>
          <w:rFonts w:cs="Times New Roman"/>
          <w:b/>
          <w:sz w:val="22"/>
          <w:szCs w:val="22"/>
        </w:rPr>
      </w:pPr>
      <w:r w:rsidRPr="008B3C73">
        <w:rPr>
          <w:rFonts w:cs="Times New Roman"/>
          <w:b/>
          <w:sz w:val="22"/>
          <w:szCs w:val="22"/>
        </w:rPr>
        <w:t>Sitka, Alaska</w:t>
      </w:r>
    </w:p>
    <w:p w14:paraId="72BD925F" w14:textId="77777777" w:rsidR="00A83491" w:rsidRPr="008B3C73" w:rsidRDefault="00A83491" w:rsidP="00A83491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83491" w:rsidRPr="008B3C73" w14:paraId="78714DFB" w14:textId="77777777" w:rsidTr="008F6EB9">
        <w:tc>
          <w:tcPr>
            <w:tcW w:w="9720" w:type="dxa"/>
          </w:tcPr>
          <w:p w14:paraId="6DA545BD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  <w:u w:val="single"/>
              </w:rPr>
            </w:pPr>
            <w:r w:rsidRPr="008B3C73">
              <w:rPr>
                <w:rFonts w:cs="Times New Roman"/>
                <w:b/>
                <w:sz w:val="22"/>
                <w:szCs w:val="22"/>
                <w:u w:val="single"/>
              </w:rPr>
              <w:t>Working Group Members</w:t>
            </w:r>
          </w:p>
        </w:tc>
      </w:tr>
      <w:tr w:rsidR="00A83491" w:rsidRPr="008B3C73" w14:paraId="282B3644" w14:textId="77777777" w:rsidTr="008F6EB9">
        <w:tc>
          <w:tcPr>
            <w:tcW w:w="9720" w:type="dxa"/>
          </w:tcPr>
          <w:p w14:paraId="2DC98CCC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Phil Levin (Co-chair), The Nature Conservancy and the University of Washington</w:t>
            </w:r>
          </w:p>
        </w:tc>
      </w:tr>
      <w:tr w:rsidR="00A83491" w:rsidRPr="008B3C73" w14:paraId="1851D379" w14:textId="77777777" w:rsidTr="008F6EB9">
        <w:tc>
          <w:tcPr>
            <w:tcW w:w="9720" w:type="dxa"/>
          </w:tcPr>
          <w:p w14:paraId="1CCDA579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Tessa Francis (Co-chair), University of Washington Tacoma</w:t>
            </w:r>
          </w:p>
        </w:tc>
      </w:tr>
      <w:tr w:rsidR="00A83491" w:rsidRPr="008B3C73" w14:paraId="79364600" w14:textId="77777777" w:rsidTr="008F6EB9">
        <w:tc>
          <w:tcPr>
            <w:tcW w:w="9720" w:type="dxa"/>
          </w:tcPr>
          <w:p w14:paraId="162A8B7F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Derek Armitage, University of Waterloo (not present)</w:t>
            </w:r>
          </w:p>
        </w:tc>
      </w:tr>
      <w:tr w:rsidR="00A83491" w:rsidRPr="008B3C73" w14:paraId="50A05AAC" w14:textId="77777777" w:rsidTr="008F6EB9">
        <w:tc>
          <w:tcPr>
            <w:tcW w:w="9720" w:type="dxa"/>
          </w:tcPr>
          <w:p w14:paraId="3228570D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Jaclyn Cleary, Fisheries and Oceans Canada</w:t>
            </w:r>
          </w:p>
        </w:tc>
      </w:tr>
      <w:tr w:rsidR="00A83491" w:rsidRPr="008B3C73" w14:paraId="0D5C07BF" w14:textId="77777777" w:rsidTr="008F6EB9">
        <w:tc>
          <w:tcPr>
            <w:tcW w:w="9720" w:type="dxa"/>
          </w:tcPr>
          <w:p w14:paraId="32C3673B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Sherri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Dressel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Alaska Department of Fish and Game</w:t>
            </w:r>
          </w:p>
        </w:tc>
      </w:tr>
      <w:tr w:rsidR="00A83491" w:rsidRPr="008B3C73" w14:paraId="42E317CB" w14:textId="77777777" w:rsidTr="008F6EB9">
        <w:tc>
          <w:tcPr>
            <w:tcW w:w="9720" w:type="dxa"/>
          </w:tcPr>
          <w:p w14:paraId="1EA1DE8A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Russ Jones,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Haida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Oceans Technical Team, Council of the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Haida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Nation</w:t>
            </w:r>
          </w:p>
        </w:tc>
      </w:tr>
      <w:tr w:rsidR="00A83491" w:rsidRPr="008B3C73" w14:paraId="3B810ABE" w14:textId="77777777" w:rsidTr="008F6EB9">
        <w:tc>
          <w:tcPr>
            <w:tcW w:w="9720" w:type="dxa"/>
          </w:tcPr>
          <w:p w14:paraId="1D14A169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Harvey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Kitka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Sitka Tribe of Alaska</w:t>
            </w:r>
          </w:p>
        </w:tc>
      </w:tr>
      <w:tr w:rsidR="00A83491" w:rsidRPr="008B3C73" w14:paraId="0CF300C4" w14:textId="77777777" w:rsidTr="008F6EB9">
        <w:tc>
          <w:tcPr>
            <w:tcW w:w="9720" w:type="dxa"/>
          </w:tcPr>
          <w:p w14:paraId="6085ED71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Lynn Lee, Marine Ecologist,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Gwaii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Haanas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National Park Reserve, National Marine Conservation Area Reserve, and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Haida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Heritage Site</w:t>
            </w:r>
          </w:p>
        </w:tc>
      </w:tr>
      <w:tr w:rsidR="00A83491" w:rsidRPr="008B3C73" w14:paraId="47BBA7D8" w14:textId="77777777" w:rsidTr="008F6EB9">
        <w:tc>
          <w:tcPr>
            <w:tcW w:w="9720" w:type="dxa"/>
          </w:tcPr>
          <w:p w14:paraId="61710437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Alec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MacCall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Retired</w:t>
            </w:r>
          </w:p>
        </w:tc>
      </w:tr>
      <w:tr w:rsidR="00A83491" w:rsidRPr="008B3C73" w14:paraId="24DC11DE" w14:textId="77777777" w:rsidTr="008F6EB9">
        <w:tc>
          <w:tcPr>
            <w:tcW w:w="9720" w:type="dxa"/>
          </w:tcPr>
          <w:p w14:paraId="0522D899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Jim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McIsaac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TBuck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Suzuki Foundation,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Gwaii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Haanas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Advisory Committee</w:t>
            </w:r>
          </w:p>
        </w:tc>
      </w:tr>
      <w:tr w:rsidR="00A83491" w:rsidRPr="008B3C73" w14:paraId="67ED9725" w14:textId="77777777" w:rsidTr="008F6EB9">
        <w:tc>
          <w:tcPr>
            <w:tcW w:w="9720" w:type="dxa"/>
          </w:tcPr>
          <w:p w14:paraId="29A6328A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Dan Okamoto, Simon Fraser University</w:t>
            </w:r>
          </w:p>
        </w:tc>
      </w:tr>
      <w:tr w:rsidR="00A83491" w:rsidRPr="008B3C73" w14:paraId="5B290985" w14:textId="77777777" w:rsidTr="001A73F2">
        <w:trPr>
          <w:trHeight w:val="315"/>
        </w:trPr>
        <w:tc>
          <w:tcPr>
            <w:tcW w:w="9720" w:type="dxa"/>
          </w:tcPr>
          <w:p w14:paraId="20CC5D6E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Melissa Poe, Washington Sea Grant</w:t>
            </w:r>
          </w:p>
        </w:tc>
      </w:tr>
      <w:tr w:rsidR="00A83491" w:rsidRPr="008B3C73" w14:paraId="6AB09BE1" w14:textId="77777777" w:rsidTr="008F6EB9">
        <w:tc>
          <w:tcPr>
            <w:tcW w:w="9720" w:type="dxa"/>
          </w:tcPr>
          <w:p w14:paraId="505F14DF" w14:textId="18CA3D31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André Punt, University of Washington</w:t>
            </w:r>
            <w:r w:rsidR="001A73F2" w:rsidRPr="008B3C73">
              <w:rPr>
                <w:rFonts w:cs="Times New Roman"/>
                <w:sz w:val="22"/>
                <w:szCs w:val="22"/>
              </w:rPr>
              <w:t xml:space="preserve"> (not present)</w:t>
            </w:r>
          </w:p>
        </w:tc>
      </w:tr>
      <w:tr w:rsidR="00A83491" w:rsidRPr="008B3C73" w14:paraId="35FC0244" w14:textId="77777777" w:rsidTr="008F6EB9">
        <w:tc>
          <w:tcPr>
            <w:tcW w:w="9720" w:type="dxa"/>
          </w:tcPr>
          <w:p w14:paraId="14590405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Steve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Reifenstuhl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Northern Southeast Regional Aquaculture</w:t>
            </w:r>
          </w:p>
        </w:tc>
      </w:tr>
      <w:tr w:rsidR="00A83491" w:rsidRPr="008B3C73" w14:paraId="4D596E66" w14:textId="77777777" w:rsidTr="008F6EB9">
        <w:tc>
          <w:tcPr>
            <w:tcW w:w="9720" w:type="dxa"/>
          </w:tcPr>
          <w:p w14:paraId="1FEFCB5D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Ole Shelton, National Oceanic and Atmospheric Administration </w:t>
            </w:r>
          </w:p>
        </w:tc>
      </w:tr>
      <w:tr w:rsidR="00A83491" w:rsidRPr="008B3C73" w14:paraId="761A2CC4" w14:textId="77777777" w:rsidTr="008F6EB9">
        <w:tc>
          <w:tcPr>
            <w:tcW w:w="9720" w:type="dxa"/>
          </w:tcPr>
          <w:p w14:paraId="7AED210F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Jen Silver, University of Guelph</w:t>
            </w:r>
          </w:p>
        </w:tc>
      </w:tr>
      <w:tr w:rsidR="00A83491" w:rsidRPr="008B3C73" w14:paraId="2081A61F" w14:textId="77777777" w:rsidTr="008F6EB9">
        <w:tc>
          <w:tcPr>
            <w:tcW w:w="9720" w:type="dxa"/>
          </w:tcPr>
          <w:p w14:paraId="65343FD4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proofErr w:type="spellStart"/>
            <w:r w:rsidRPr="008B3C73">
              <w:rPr>
                <w:rFonts w:cs="Times New Roman"/>
                <w:sz w:val="22"/>
                <w:szCs w:val="22"/>
              </w:rPr>
              <w:t>Jörn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 xml:space="preserve"> Schmidt, Kiel University</w:t>
            </w:r>
          </w:p>
        </w:tc>
      </w:tr>
      <w:tr w:rsidR="00A83491" w:rsidRPr="008B3C73" w14:paraId="1EE763E8" w14:textId="77777777" w:rsidTr="008F6EB9">
        <w:trPr>
          <w:trHeight w:val="324"/>
        </w:trPr>
        <w:tc>
          <w:tcPr>
            <w:tcW w:w="9720" w:type="dxa"/>
          </w:tcPr>
          <w:p w14:paraId="28CEC1A3" w14:textId="77777777" w:rsidR="00A83491" w:rsidRPr="008B3C73" w:rsidRDefault="00A83491" w:rsidP="008F6EB9">
            <w:pPr>
              <w:ind w:left="620" w:hanging="620"/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Tom Thornton, Oxford University</w:t>
            </w:r>
          </w:p>
        </w:tc>
      </w:tr>
      <w:tr w:rsidR="00A83491" w:rsidRPr="008B3C73" w14:paraId="7E459E15" w14:textId="77777777" w:rsidTr="008F6EB9">
        <w:tc>
          <w:tcPr>
            <w:tcW w:w="9720" w:type="dxa"/>
          </w:tcPr>
          <w:p w14:paraId="2DF07F05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Rudi Voss, Kiel University</w:t>
            </w:r>
          </w:p>
        </w:tc>
      </w:tr>
      <w:tr w:rsidR="00A83491" w:rsidRPr="008B3C73" w14:paraId="65CB17E4" w14:textId="77777777" w:rsidTr="008F6EB9">
        <w:tc>
          <w:tcPr>
            <w:tcW w:w="9720" w:type="dxa"/>
          </w:tcPr>
          <w:p w14:paraId="4FCE7F78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John Woodruff, Icicle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Seafoods</w:t>
            </w:r>
            <w:proofErr w:type="spellEnd"/>
          </w:p>
          <w:p w14:paraId="3FFCF18A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83491" w:rsidRPr="008B3C73" w14:paraId="0044FB1E" w14:textId="77777777" w:rsidTr="008F6EB9">
        <w:tc>
          <w:tcPr>
            <w:tcW w:w="9720" w:type="dxa"/>
          </w:tcPr>
          <w:p w14:paraId="3B608116" w14:textId="77777777" w:rsidR="00A83491" w:rsidRPr="008B3C73" w:rsidRDefault="00A83491" w:rsidP="008F6EB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B3C73">
              <w:rPr>
                <w:rFonts w:cs="Times New Roman"/>
                <w:b/>
                <w:sz w:val="22"/>
                <w:szCs w:val="22"/>
                <w:u w:val="single"/>
              </w:rPr>
              <w:t xml:space="preserve">Local Participants </w:t>
            </w:r>
          </w:p>
        </w:tc>
      </w:tr>
      <w:tr w:rsidR="00A83491" w:rsidRPr="008B3C73" w14:paraId="66B16C60" w14:textId="77777777" w:rsidTr="008F6EB9">
        <w:tc>
          <w:tcPr>
            <w:tcW w:w="9720" w:type="dxa"/>
          </w:tcPr>
          <w:p w14:paraId="7162645E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Victoria (Tory) O’Connell, Sitka Sound Science Center</w:t>
            </w:r>
          </w:p>
        </w:tc>
      </w:tr>
      <w:tr w:rsidR="00A83491" w:rsidRPr="008B3C73" w14:paraId="316091C2" w14:textId="77777777" w:rsidTr="008F6EB9">
        <w:tc>
          <w:tcPr>
            <w:tcW w:w="9720" w:type="dxa"/>
          </w:tcPr>
          <w:p w14:paraId="3F977B43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Sarah Busch, Sitka Sound Science Center</w:t>
            </w:r>
          </w:p>
        </w:tc>
      </w:tr>
      <w:tr w:rsidR="00A83491" w:rsidRPr="008B3C73" w14:paraId="6D693611" w14:textId="77777777" w:rsidTr="008F6EB9">
        <w:tc>
          <w:tcPr>
            <w:tcW w:w="9720" w:type="dxa"/>
          </w:tcPr>
          <w:p w14:paraId="60C47FD7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Lauren Sill, Alaska Department of Fish and Game</w:t>
            </w:r>
          </w:p>
        </w:tc>
      </w:tr>
      <w:tr w:rsidR="00A83491" w:rsidRPr="008B3C73" w14:paraId="1A33FD52" w14:textId="77777777" w:rsidTr="008F6EB9">
        <w:tc>
          <w:tcPr>
            <w:tcW w:w="9720" w:type="dxa"/>
          </w:tcPr>
          <w:p w14:paraId="784C17A5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Jeff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Feldpausch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Sitka Tribe of Alaska</w:t>
            </w:r>
          </w:p>
        </w:tc>
      </w:tr>
      <w:tr w:rsidR="00A83491" w:rsidRPr="008B3C73" w14:paraId="607BCE90" w14:textId="77777777" w:rsidTr="008F6EB9">
        <w:tc>
          <w:tcPr>
            <w:tcW w:w="9720" w:type="dxa"/>
          </w:tcPr>
          <w:p w14:paraId="5789E750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Mike Miller, Sitka Tribe of Alaska</w:t>
            </w:r>
          </w:p>
        </w:tc>
      </w:tr>
      <w:tr w:rsidR="00A83491" w:rsidRPr="008B3C73" w14:paraId="6FFC3DC4" w14:textId="77777777" w:rsidTr="008F6EB9">
        <w:tc>
          <w:tcPr>
            <w:tcW w:w="9720" w:type="dxa"/>
          </w:tcPr>
          <w:p w14:paraId="08B056BD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John Duncan</w:t>
            </w:r>
          </w:p>
        </w:tc>
      </w:tr>
      <w:tr w:rsidR="00A83491" w:rsidRPr="008B3C73" w14:paraId="68EFBAB8" w14:textId="77777777" w:rsidTr="008F6EB9">
        <w:tc>
          <w:tcPr>
            <w:tcW w:w="9720" w:type="dxa"/>
          </w:tcPr>
          <w:p w14:paraId="3ADA6F61" w14:textId="77777777" w:rsidR="00A83491" w:rsidRPr="008B3C73" w:rsidRDefault="00A83491" w:rsidP="008F6EB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A83491" w:rsidRPr="008B3C73" w14:paraId="2570EBCD" w14:textId="77777777" w:rsidTr="008F6EB9">
        <w:tc>
          <w:tcPr>
            <w:tcW w:w="9720" w:type="dxa"/>
          </w:tcPr>
          <w:p w14:paraId="4FDB26EB" w14:textId="77777777" w:rsidR="00A83491" w:rsidRPr="008B3C73" w:rsidRDefault="00A83491" w:rsidP="008F6EB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B3C73">
              <w:rPr>
                <w:rFonts w:cs="Times New Roman"/>
                <w:b/>
                <w:sz w:val="22"/>
                <w:szCs w:val="22"/>
                <w:u w:val="single"/>
              </w:rPr>
              <w:t>Observers</w:t>
            </w:r>
          </w:p>
        </w:tc>
      </w:tr>
      <w:tr w:rsidR="00A83491" w:rsidRPr="008B3C73" w14:paraId="05BE29E8" w14:textId="77777777" w:rsidTr="008F6EB9">
        <w:tc>
          <w:tcPr>
            <w:tcW w:w="9720" w:type="dxa"/>
          </w:tcPr>
          <w:p w14:paraId="7812D68F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>Steve Marx, Pew Charitable Trusts</w:t>
            </w:r>
          </w:p>
        </w:tc>
      </w:tr>
      <w:tr w:rsidR="00A83491" w:rsidRPr="008B3C73" w14:paraId="069979A6" w14:textId="77777777" w:rsidTr="008F6EB9">
        <w:tc>
          <w:tcPr>
            <w:tcW w:w="9720" w:type="dxa"/>
          </w:tcPr>
          <w:p w14:paraId="6B5A69CB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  <w:r w:rsidRPr="008B3C73">
              <w:rPr>
                <w:rFonts w:cs="Times New Roman"/>
                <w:sz w:val="22"/>
                <w:szCs w:val="22"/>
              </w:rPr>
              <w:t xml:space="preserve">Eric </w:t>
            </w:r>
            <w:proofErr w:type="spellStart"/>
            <w:r w:rsidRPr="008B3C73">
              <w:rPr>
                <w:rFonts w:cs="Times New Roman"/>
                <w:sz w:val="22"/>
                <w:szCs w:val="22"/>
              </w:rPr>
              <w:t>Coonradt</w:t>
            </w:r>
            <w:proofErr w:type="spellEnd"/>
            <w:r w:rsidRPr="008B3C73">
              <w:rPr>
                <w:rFonts w:cs="Times New Roman"/>
                <w:sz w:val="22"/>
                <w:szCs w:val="22"/>
              </w:rPr>
              <w:t>, Alaska Department of Fish and Game</w:t>
            </w:r>
          </w:p>
        </w:tc>
      </w:tr>
      <w:tr w:rsidR="00A83491" w:rsidRPr="008B3C73" w14:paraId="512D1EAB" w14:textId="77777777" w:rsidTr="008F6EB9">
        <w:tc>
          <w:tcPr>
            <w:tcW w:w="9720" w:type="dxa"/>
          </w:tcPr>
          <w:p w14:paraId="48DC942B" w14:textId="77777777" w:rsidR="00A83491" w:rsidRPr="008B3C73" w:rsidRDefault="00A83491" w:rsidP="008F6EB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AFE7949" w14:textId="77777777" w:rsidR="00A83491" w:rsidRPr="008B3C73" w:rsidRDefault="00A83491" w:rsidP="00A8349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1F7FC654" w14:textId="77777777" w:rsidR="00A83491" w:rsidRPr="008B3C73" w:rsidRDefault="00A83491" w:rsidP="00A8349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03E85212" w14:textId="77777777" w:rsidR="00A83491" w:rsidRPr="008B3C73" w:rsidRDefault="00A83491" w:rsidP="00A8349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02A12FF2" w14:textId="77777777" w:rsidR="00A83491" w:rsidRPr="008B3C73" w:rsidRDefault="00A83491" w:rsidP="00A8349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2370AA56" w14:textId="77777777" w:rsidR="00A83491" w:rsidRPr="008B3C73" w:rsidRDefault="00A83491" w:rsidP="00C9584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16E8D9EF" w14:textId="77777777" w:rsidR="00A83491" w:rsidRPr="008B3C73" w:rsidRDefault="00A83491" w:rsidP="00C9584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</w:p>
    <w:p w14:paraId="2A84A12E" w14:textId="77777777" w:rsidR="00CA501D" w:rsidRDefault="00CA501D">
      <w:pPr>
        <w:rPr>
          <w:rFonts w:eastAsiaTheme="minorEastAsia" w:cs="Times New Roman"/>
          <w:b/>
          <w:bCs/>
          <w:color w:val="0B5394"/>
          <w:sz w:val="22"/>
          <w:szCs w:val="22"/>
        </w:rPr>
      </w:pPr>
      <w:r>
        <w:rPr>
          <w:b/>
          <w:bCs/>
          <w:color w:val="0B5394"/>
          <w:sz w:val="22"/>
          <w:szCs w:val="22"/>
        </w:rPr>
        <w:br w:type="page"/>
      </w:r>
    </w:p>
    <w:p w14:paraId="1475052F" w14:textId="397A791A" w:rsidR="000C15AC" w:rsidRPr="008B3C73" w:rsidRDefault="000C15AC" w:rsidP="00C9584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B5394"/>
          <w:sz w:val="22"/>
          <w:szCs w:val="22"/>
        </w:rPr>
      </w:pPr>
      <w:r w:rsidRPr="008B3C73">
        <w:rPr>
          <w:rFonts w:ascii="Times New Roman" w:hAnsi="Times New Roman"/>
          <w:b/>
          <w:bCs/>
          <w:color w:val="0B5394"/>
          <w:sz w:val="22"/>
          <w:szCs w:val="22"/>
        </w:rPr>
        <w:lastRenderedPageBreak/>
        <w:t>EXECUTIVE SUMMARY</w:t>
      </w:r>
    </w:p>
    <w:p w14:paraId="6854A01B" w14:textId="2F1AC0D0" w:rsidR="000C15AC" w:rsidRPr="008B3C73" w:rsidRDefault="00C95845" w:rsidP="00C95845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B3C7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AA77" wp14:editId="7FB7E7A4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5867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628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4pt" to="463.0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118F2951" w14:textId="3626BCF2" w:rsidR="000C15AC" w:rsidRPr="008B3C73" w:rsidRDefault="000C15AC" w:rsidP="000C15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The Ocean Modeling Forum (OMF) convened a working group comprised of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>traditional knowledge holders, social scientists, fisheries scientists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, fisheries managers, representatives of the fishing industry, </w:t>
      </w:r>
      <w:r w:rsidR="00432928" w:rsidRPr="008B3C73"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experts in herring </w:t>
      </w:r>
      <w:r w:rsidR="00792F38" w:rsidRPr="008B3C73">
        <w:rPr>
          <w:rFonts w:ascii="Times New Roman" w:hAnsi="Times New Roman"/>
          <w:color w:val="000000"/>
          <w:sz w:val="22"/>
          <w:szCs w:val="22"/>
        </w:rPr>
        <w:t>ecology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to explore aspects of the Pacific herring social-ecological system and improve advice for managing herring fisheries. The working group bring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>s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together multiple models and types of information, including local and traditional knowledge as well as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 xml:space="preserve">conventional 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fisheries data, to explore the consequences for fisheries, ecosystems, and people of incorporating spatial complexity in herring population structure into models of the herring social-ecological system. We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 xml:space="preserve">are </w:t>
      </w:r>
      <w:r w:rsidRPr="008B3C73">
        <w:rPr>
          <w:rFonts w:ascii="Times New Roman" w:hAnsi="Times New Roman"/>
          <w:color w:val="000000"/>
          <w:sz w:val="22"/>
          <w:szCs w:val="22"/>
        </w:rPr>
        <w:t>explor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>ing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these questions in a comparative framework, comparing the social-ecological herring systems in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Haida</w:t>
      </w:r>
      <w:proofErr w:type="spellEnd"/>
      <w:r w:rsidRPr="008B3C7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Gwaii</w:t>
      </w:r>
      <w:proofErr w:type="spellEnd"/>
      <w:r w:rsidRPr="008B3C73">
        <w:rPr>
          <w:rFonts w:ascii="Times New Roman" w:hAnsi="Times New Roman"/>
          <w:color w:val="000000"/>
          <w:sz w:val="22"/>
          <w:szCs w:val="22"/>
        </w:rPr>
        <w:t xml:space="preserve">, British Columbia and Sitka, Alaska. The group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>will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provide broadly-applicable advice on incorporating multiple forms of knowledge into formal fisheries assessments, and on evaluating fisheries sustainability in terms of ecological, economic, and social outcomes. </w:t>
      </w:r>
    </w:p>
    <w:p w14:paraId="25676DF8" w14:textId="77777777" w:rsidR="000C15AC" w:rsidRPr="008B3C73" w:rsidRDefault="000C15AC" w:rsidP="00CA75B4">
      <w:pPr>
        <w:rPr>
          <w:rFonts w:cs="Times New Roman"/>
          <w:b/>
          <w:sz w:val="22"/>
          <w:szCs w:val="22"/>
        </w:rPr>
      </w:pPr>
    </w:p>
    <w:p w14:paraId="25506C44" w14:textId="1FBB54FE" w:rsidR="000C15AC" w:rsidRPr="008B3C73" w:rsidRDefault="000C15AC" w:rsidP="00C9584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The group is using multiple models and forms of analyses to pursue </w:t>
      </w:r>
      <w:r w:rsidR="001C11F5" w:rsidRPr="008B3C73">
        <w:rPr>
          <w:rFonts w:ascii="Times New Roman" w:hAnsi="Times New Roman"/>
          <w:color w:val="000000"/>
          <w:sz w:val="22"/>
          <w:szCs w:val="22"/>
        </w:rPr>
        <w:t>four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main research questions:</w:t>
      </w:r>
    </w:p>
    <w:p w14:paraId="19562B7F" w14:textId="22E17DB0" w:rsidR="000C15AC" w:rsidRPr="008B3C73" w:rsidRDefault="000C15AC" w:rsidP="00C95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What are the impacts of herring fisheries on ecological, economic, social and cultural </w:t>
      </w:r>
      <w:r w:rsidR="0075454E">
        <w:rPr>
          <w:rFonts w:ascii="Times New Roman" w:hAnsi="Times New Roman"/>
          <w:color w:val="000000"/>
          <w:sz w:val="22"/>
          <w:szCs w:val="22"/>
        </w:rPr>
        <w:t>benefi</w:t>
      </w:r>
      <w:r w:rsidRPr="008B3C73">
        <w:rPr>
          <w:rFonts w:ascii="Times New Roman" w:hAnsi="Times New Roman"/>
          <w:color w:val="000000"/>
          <w:sz w:val="22"/>
          <w:szCs w:val="22"/>
        </w:rPr>
        <w:t>ts of social-ecological systems?</w:t>
      </w:r>
    </w:p>
    <w:p w14:paraId="19CF62DB" w14:textId="02FE7B92" w:rsidR="000C15AC" w:rsidRPr="008B3C73" w:rsidRDefault="000C15AC" w:rsidP="00C95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>How can traditional/local knowledge and spatial considerations be incorporated into conventional herring fisheries assessments?</w:t>
      </w:r>
    </w:p>
    <w:p w14:paraId="44103C7B" w14:textId="2547996B" w:rsidR="000C15AC" w:rsidRPr="008B3C73" w:rsidRDefault="000C15AC" w:rsidP="00C95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How does spatial structure of the fisheries system impact the distribution of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 xml:space="preserve">ecological, economic and social 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benefits in the system? </w:t>
      </w:r>
    </w:p>
    <w:p w14:paraId="3DED1B1E" w14:textId="257D533E" w:rsidR="000C15AC" w:rsidRPr="008B3C73" w:rsidRDefault="000C15AC" w:rsidP="00C95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How does governance influence the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 xml:space="preserve">sustainability of 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herring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>social-ecological systems</w:t>
      </w:r>
      <w:r w:rsidRPr="008B3C73">
        <w:rPr>
          <w:rFonts w:ascii="Times New Roman" w:hAnsi="Times New Roman"/>
          <w:color w:val="000000"/>
          <w:sz w:val="22"/>
          <w:szCs w:val="22"/>
        </w:rPr>
        <w:t>?</w:t>
      </w:r>
    </w:p>
    <w:p w14:paraId="13971013" w14:textId="77777777" w:rsidR="000C15AC" w:rsidRPr="008B3C73" w:rsidRDefault="000C15AC" w:rsidP="000C15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DFD5327" w14:textId="73480441" w:rsidR="00A83491" w:rsidRPr="008B3C73" w:rsidRDefault="000C15AC" w:rsidP="000C15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The OMF’s Herring Case Study participants met for the </w:t>
      </w:r>
      <w:r w:rsidR="00132A85" w:rsidRPr="008B3C73">
        <w:rPr>
          <w:rFonts w:ascii="Times New Roman" w:hAnsi="Times New Roman"/>
          <w:color w:val="000000"/>
          <w:sz w:val="22"/>
          <w:szCs w:val="22"/>
        </w:rPr>
        <w:t>third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time in </w:t>
      </w:r>
      <w:r w:rsidR="00132A85" w:rsidRPr="008B3C73">
        <w:rPr>
          <w:rFonts w:ascii="Times New Roman" w:hAnsi="Times New Roman"/>
          <w:color w:val="000000"/>
          <w:sz w:val="22"/>
          <w:szCs w:val="22"/>
        </w:rPr>
        <w:t xml:space="preserve">Sitka, Alaska, </w:t>
      </w:r>
      <w:r w:rsidR="00AC6177" w:rsidRPr="008B3C73">
        <w:rPr>
          <w:rFonts w:ascii="Times New Roman" w:hAnsi="Times New Roman"/>
          <w:color w:val="000000"/>
          <w:sz w:val="22"/>
          <w:szCs w:val="22"/>
        </w:rPr>
        <w:t>from August 23-25, 2016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F293C" w:rsidRPr="008B3C73">
        <w:rPr>
          <w:rFonts w:ascii="Times New Roman" w:hAnsi="Times New Roman"/>
          <w:color w:val="000000"/>
          <w:sz w:val="22"/>
          <w:szCs w:val="22"/>
        </w:rPr>
        <w:t xml:space="preserve">Input and perspectives were invited from the local </w:t>
      </w:r>
      <w:r w:rsidR="00DC3594" w:rsidRPr="008B3C73">
        <w:rPr>
          <w:rFonts w:ascii="Times New Roman" w:hAnsi="Times New Roman"/>
          <w:color w:val="000000"/>
          <w:sz w:val="22"/>
          <w:szCs w:val="22"/>
        </w:rPr>
        <w:t>Sitka</w:t>
      </w:r>
      <w:r w:rsidR="008F293C" w:rsidRPr="008B3C73">
        <w:rPr>
          <w:rFonts w:ascii="Times New Roman" w:hAnsi="Times New Roman"/>
          <w:color w:val="000000"/>
          <w:sz w:val="22"/>
          <w:szCs w:val="22"/>
        </w:rPr>
        <w:t xml:space="preserve"> community, including representatives and elders of the </w:t>
      </w:r>
      <w:r w:rsidR="00DC3594" w:rsidRPr="008B3C73">
        <w:rPr>
          <w:rFonts w:ascii="Times New Roman" w:hAnsi="Times New Roman"/>
          <w:color w:val="000000"/>
          <w:sz w:val="22"/>
          <w:szCs w:val="22"/>
        </w:rPr>
        <w:t>Sitka Tribe of Alaska</w:t>
      </w:r>
      <w:r w:rsidR="008F293C" w:rsidRPr="008B3C73">
        <w:rPr>
          <w:rFonts w:ascii="Times New Roman" w:hAnsi="Times New Roman"/>
          <w:color w:val="000000"/>
          <w:sz w:val="22"/>
          <w:szCs w:val="22"/>
        </w:rPr>
        <w:t xml:space="preserve">, the </w:t>
      </w:r>
      <w:r w:rsidR="00DC3594" w:rsidRPr="008B3C73">
        <w:rPr>
          <w:rFonts w:ascii="Times New Roman" w:hAnsi="Times New Roman"/>
          <w:color w:val="000000"/>
          <w:sz w:val="22"/>
          <w:szCs w:val="22"/>
        </w:rPr>
        <w:t xml:space="preserve">local </w:t>
      </w:r>
      <w:r w:rsidR="008F293C" w:rsidRPr="008B3C73">
        <w:rPr>
          <w:rFonts w:ascii="Times New Roman" w:hAnsi="Times New Roman"/>
          <w:color w:val="000000"/>
          <w:sz w:val="22"/>
          <w:szCs w:val="22"/>
        </w:rPr>
        <w:t>fishing community,</w:t>
      </w:r>
      <w:r w:rsidR="00DC3594" w:rsidRPr="008B3C73">
        <w:rPr>
          <w:rFonts w:ascii="Times New Roman" w:hAnsi="Times New Roman"/>
          <w:color w:val="000000"/>
          <w:sz w:val="22"/>
          <w:szCs w:val="22"/>
        </w:rPr>
        <w:t xml:space="preserve"> and Alaska Department of Fish and Game</w:t>
      </w:r>
      <w:r w:rsidR="008F293C" w:rsidRPr="008B3C73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1B92984D" w14:textId="77777777" w:rsidR="00A83491" w:rsidRPr="008B3C73" w:rsidRDefault="00A83491" w:rsidP="000C15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3CEB3F8" w14:textId="1F08CD94" w:rsidR="00FC0EC6" w:rsidRDefault="00FC0EC6" w:rsidP="00A834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group made major progress </w:t>
      </w:r>
      <w:r w:rsidR="006E5F12">
        <w:rPr>
          <w:rFonts w:cs="Times New Roman"/>
          <w:sz w:val="22"/>
          <w:szCs w:val="22"/>
        </w:rPr>
        <w:t>on</w:t>
      </w:r>
      <w:r>
        <w:rPr>
          <w:rFonts w:cs="Times New Roman"/>
          <w:sz w:val="22"/>
          <w:szCs w:val="22"/>
        </w:rPr>
        <w:t xml:space="preserve"> the primary research questions, including:</w:t>
      </w:r>
    </w:p>
    <w:p w14:paraId="0365B84C" w14:textId="77777777" w:rsidR="006E5F12" w:rsidRDefault="00A83491" w:rsidP="006E5F12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FC0EC6">
        <w:rPr>
          <w:rFonts w:cs="Times New Roman"/>
          <w:sz w:val="22"/>
          <w:szCs w:val="22"/>
        </w:rPr>
        <w:t xml:space="preserve">The working group </w:t>
      </w:r>
      <w:r w:rsidR="00DC3594" w:rsidRPr="00FC0EC6">
        <w:rPr>
          <w:rFonts w:cs="Times New Roman"/>
          <w:sz w:val="22"/>
          <w:szCs w:val="22"/>
        </w:rPr>
        <w:t>decided on</w:t>
      </w:r>
      <w:r w:rsidR="00FC0EC6">
        <w:rPr>
          <w:rFonts w:cs="Times New Roman"/>
          <w:sz w:val="22"/>
          <w:szCs w:val="22"/>
        </w:rPr>
        <w:t xml:space="preserve"> a set of</w:t>
      </w:r>
      <w:r w:rsidR="00DC3594" w:rsidRPr="00FC0EC6">
        <w:rPr>
          <w:rFonts w:cs="Times New Roman"/>
          <w:sz w:val="22"/>
          <w:szCs w:val="22"/>
        </w:rPr>
        <w:t xml:space="preserve"> </w:t>
      </w:r>
      <w:r w:rsidR="0075454E" w:rsidRPr="00FC0EC6">
        <w:rPr>
          <w:rFonts w:cs="Times New Roman"/>
          <w:b/>
          <w:sz w:val="22"/>
          <w:szCs w:val="22"/>
        </w:rPr>
        <w:t>simulation</w:t>
      </w:r>
      <w:r w:rsidR="0075454E" w:rsidRPr="00FC0EC6">
        <w:rPr>
          <w:rFonts w:cs="Times New Roman"/>
          <w:sz w:val="22"/>
          <w:szCs w:val="22"/>
        </w:rPr>
        <w:t xml:space="preserve"> </w:t>
      </w:r>
      <w:r w:rsidR="00DC3594" w:rsidRPr="00FC0EC6">
        <w:rPr>
          <w:rFonts w:cs="Times New Roman"/>
          <w:b/>
          <w:sz w:val="22"/>
          <w:szCs w:val="22"/>
        </w:rPr>
        <w:t xml:space="preserve">scenarios </w:t>
      </w:r>
      <w:r w:rsidR="00FC0EC6">
        <w:rPr>
          <w:rFonts w:cs="Times New Roman"/>
          <w:b/>
          <w:sz w:val="22"/>
          <w:szCs w:val="22"/>
        </w:rPr>
        <w:t>to explore with</w:t>
      </w:r>
      <w:r w:rsidR="00DC3594" w:rsidRPr="00FC0EC6">
        <w:rPr>
          <w:rFonts w:cs="Times New Roman"/>
          <w:b/>
          <w:sz w:val="22"/>
          <w:szCs w:val="22"/>
        </w:rPr>
        <w:t xml:space="preserve"> the</w:t>
      </w:r>
      <w:r w:rsidRPr="00FC0EC6">
        <w:rPr>
          <w:rFonts w:cs="Times New Roman"/>
          <w:b/>
          <w:sz w:val="22"/>
          <w:szCs w:val="22"/>
        </w:rPr>
        <w:t xml:space="preserve"> herring operating and assessment models</w:t>
      </w:r>
      <w:r w:rsidR="00DC3594" w:rsidRPr="00FC0EC6">
        <w:rPr>
          <w:rFonts w:cs="Times New Roman"/>
          <w:sz w:val="22"/>
          <w:szCs w:val="22"/>
        </w:rPr>
        <w:t xml:space="preserve">, </w:t>
      </w:r>
      <w:r w:rsidR="0075454E" w:rsidRPr="00FC0EC6">
        <w:rPr>
          <w:rFonts w:cs="Times New Roman"/>
          <w:sz w:val="22"/>
          <w:szCs w:val="22"/>
        </w:rPr>
        <w:t>includin</w:t>
      </w:r>
      <w:r w:rsidR="006E5F12">
        <w:rPr>
          <w:rFonts w:cs="Times New Roman"/>
          <w:sz w:val="22"/>
          <w:szCs w:val="22"/>
        </w:rPr>
        <w:t>g varying herring harvest rates,</w:t>
      </w:r>
      <w:r w:rsidR="0075454E" w:rsidRPr="00FC0EC6">
        <w:rPr>
          <w:rFonts w:cs="Times New Roman"/>
          <w:sz w:val="22"/>
          <w:szCs w:val="22"/>
        </w:rPr>
        <w:t xml:space="preserve"> herring migration/</w:t>
      </w:r>
      <w:r w:rsidR="006E5F12">
        <w:rPr>
          <w:rFonts w:cs="Times New Roman"/>
          <w:sz w:val="22"/>
          <w:szCs w:val="22"/>
        </w:rPr>
        <w:t xml:space="preserve">diffusion rates among </w:t>
      </w:r>
      <w:proofErr w:type="spellStart"/>
      <w:r w:rsidR="006E5F12">
        <w:rPr>
          <w:rFonts w:cs="Times New Roman"/>
          <w:sz w:val="22"/>
          <w:szCs w:val="22"/>
        </w:rPr>
        <w:t>stocklets</w:t>
      </w:r>
      <w:proofErr w:type="spellEnd"/>
      <w:r w:rsidR="006E5F12">
        <w:rPr>
          <w:rFonts w:cs="Times New Roman"/>
          <w:sz w:val="22"/>
          <w:szCs w:val="22"/>
        </w:rPr>
        <w:t>, ocean productivity,</w:t>
      </w:r>
      <w:r w:rsidR="0075454E" w:rsidRPr="00FC0EC6">
        <w:rPr>
          <w:rFonts w:cs="Times New Roman"/>
          <w:sz w:val="22"/>
          <w:szCs w:val="22"/>
        </w:rPr>
        <w:t xml:space="preserve"> </w:t>
      </w:r>
      <w:r w:rsidR="006E5F12">
        <w:rPr>
          <w:rFonts w:cs="Times New Roman"/>
          <w:sz w:val="22"/>
          <w:szCs w:val="22"/>
        </w:rPr>
        <w:t>predator-driven mortality rates,</w:t>
      </w:r>
      <w:r w:rsidR="0075454E" w:rsidRPr="00FC0EC6">
        <w:rPr>
          <w:rFonts w:cs="Times New Roman"/>
          <w:sz w:val="22"/>
          <w:szCs w:val="22"/>
        </w:rPr>
        <w:t xml:space="preserve"> and spatial allocation of catch. </w:t>
      </w:r>
    </w:p>
    <w:p w14:paraId="621C9C7B" w14:textId="143F15C4" w:rsidR="006E5F12" w:rsidRPr="006E5F12" w:rsidRDefault="006E5F12" w:rsidP="006E5F12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The group </w:t>
      </w:r>
      <w:r w:rsidR="0075454E" w:rsidRPr="006E5F12">
        <w:rPr>
          <w:color w:val="000000"/>
          <w:sz w:val="22"/>
          <w:szCs w:val="22"/>
        </w:rPr>
        <w:t>i</w:t>
      </w:r>
      <w:r w:rsidR="001A73F2" w:rsidRPr="006E5F12">
        <w:rPr>
          <w:color w:val="000000"/>
          <w:sz w:val="22"/>
          <w:szCs w:val="22"/>
        </w:rPr>
        <w:t>dentified</w:t>
      </w:r>
      <w:r w:rsidR="001A73F2" w:rsidRPr="006E5F12">
        <w:rPr>
          <w:b/>
          <w:color w:val="000000"/>
          <w:sz w:val="22"/>
          <w:szCs w:val="22"/>
        </w:rPr>
        <w:t xml:space="preserve"> social benefits</w:t>
      </w:r>
      <w:r w:rsidR="00896EA8">
        <w:rPr>
          <w:b/>
          <w:color w:val="000000"/>
          <w:sz w:val="22"/>
          <w:szCs w:val="22"/>
        </w:rPr>
        <w:t xml:space="preserve"> connected to herring fisheries</w:t>
      </w:r>
      <w:r w:rsidR="0075454E" w:rsidRPr="006E5F12">
        <w:rPr>
          <w:color w:val="000000"/>
          <w:sz w:val="22"/>
          <w:szCs w:val="22"/>
        </w:rPr>
        <w:t xml:space="preserve"> to evaluate</w:t>
      </w:r>
      <w:r>
        <w:rPr>
          <w:color w:val="000000"/>
          <w:sz w:val="22"/>
          <w:szCs w:val="22"/>
        </w:rPr>
        <w:t xml:space="preserve"> in connection with the </w:t>
      </w:r>
      <w:r w:rsidR="00C254B3">
        <w:rPr>
          <w:color w:val="000000"/>
          <w:sz w:val="22"/>
          <w:szCs w:val="22"/>
        </w:rPr>
        <w:t xml:space="preserve">model </w:t>
      </w:r>
      <w:r>
        <w:rPr>
          <w:color w:val="000000"/>
          <w:sz w:val="22"/>
          <w:szCs w:val="22"/>
        </w:rPr>
        <w:t>simulations</w:t>
      </w:r>
      <w:r w:rsidR="001A73F2" w:rsidRPr="006E5F12">
        <w:rPr>
          <w:color w:val="000000"/>
          <w:sz w:val="22"/>
          <w:szCs w:val="22"/>
        </w:rPr>
        <w:t xml:space="preserve">, including: </w:t>
      </w:r>
      <w:r w:rsidR="00B70EC3" w:rsidRPr="006E5F12">
        <w:rPr>
          <w:color w:val="000000"/>
          <w:sz w:val="22"/>
          <w:szCs w:val="22"/>
        </w:rPr>
        <w:t>cultural continuity, food practices,</w:t>
      </w:r>
      <w:r>
        <w:rPr>
          <w:color w:val="000000"/>
          <w:sz w:val="22"/>
          <w:szCs w:val="22"/>
        </w:rPr>
        <w:t xml:space="preserve"> and</w:t>
      </w:r>
      <w:r w:rsidR="00B70EC3" w:rsidRPr="006E5F12">
        <w:rPr>
          <w:color w:val="000000"/>
          <w:sz w:val="22"/>
          <w:szCs w:val="22"/>
        </w:rPr>
        <w:t xml:space="preserve"> wellbeing.</w:t>
      </w:r>
    </w:p>
    <w:p w14:paraId="74E4B0AC" w14:textId="77777777" w:rsidR="00027789" w:rsidRPr="00027789" w:rsidRDefault="004A5EF1" w:rsidP="00027789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Efforts to e</w:t>
      </w:r>
      <w:r w:rsidR="00B70EC3" w:rsidRPr="006E5F12">
        <w:rPr>
          <w:color w:val="000000"/>
          <w:sz w:val="22"/>
          <w:szCs w:val="22"/>
        </w:rPr>
        <w:t>valuat</w:t>
      </w:r>
      <w:r>
        <w:rPr>
          <w:color w:val="000000"/>
          <w:sz w:val="22"/>
          <w:szCs w:val="22"/>
        </w:rPr>
        <w:t>e</w:t>
      </w:r>
      <w:r w:rsidR="00B70EC3" w:rsidRPr="006E5F12">
        <w:rPr>
          <w:color w:val="000000"/>
          <w:sz w:val="22"/>
          <w:szCs w:val="22"/>
        </w:rPr>
        <w:t xml:space="preserve"> economic benefits associated with management scenarios includ</w:t>
      </w:r>
      <w:r>
        <w:rPr>
          <w:color w:val="000000"/>
          <w:sz w:val="22"/>
          <w:szCs w:val="22"/>
        </w:rPr>
        <w:t>e</w:t>
      </w:r>
      <w:r w:rsidR="00B70EC3" w:rsidRPr="006E5F12">
        <w:rPr>
          <w:color w:val="000000"/>
          <w:sz w:val="22"/>
          <w:szCs w:val="22"/>
        </w:rPr>
        <w:t xml:space="preserve"> a draft map of herring-related economic benefits in </w:t>
      </w:r>
      <w:proofErr w:type="spellStart"/>
      <w:r w:rsidR="00B70EC3" w:rsidRPr="006E5F12">
        <w:rPr>
          <w:color w:val="000000"/>
          <w:sz w:val="22"/>
          <w:szCs w:val="22"/>
        </w:rPr>
        <w:t>Haida</w:t>
      </w:r>
      <w:proofErr w:type="spellEnd"/>
      <w:r w:rsidR="00B70EC3" w:rsidRPr="006E5F12">
        <w:rPr>
          <w:color w:val="000000"/>
          <w:sz w:val="22"/>
          <w:szCs w:val="22"/>
        </w:rPr>
        <w:t xml:space="preserve"> </w:t>
      </w:r>
      <w:proofErr w:type="spellStart"/>
      <w:r w:rsidR="00B70EC3" w:rsidRPr="006E5F12">
        <w:rPr>
          <w:color w:val="000000"/>
          <w:sz w:val="22"/>
          <w:szCs w:val="22"/>
        </w:rPr>
        <w:t>Gwaii</w:t>
      </w:r>
      <w:proofErr w:type="spellEnd"/>
      <w:r>
        <w:rPr>
          <w:color w:val="000000"/>
          <w:sz w:val="22"/>
          <w:szCs w:val="22"/>
        </w:rPr>
        <w:t>, BC</w:t>
      </w:r>
      <w:r w:rsidR="00B70EC3" w:rsidRPr="006E5F12">
        <w:rPr>
          <w:color w:val="000000"/>
          <w:sz w:val="22"/>
          <w:szCs w:val="22"/>
        </w:rPr>
        <w:t xml:space="preserve">. Next steps include an impact analysis of different management </w:t>
      </w:r>
      <w:r w:rsidR="00027789">
        <w:rPr>
          <w:color w:val="000000"/>
          <w:sz w:val="22"/>
          <w:szCs w:val="22"/>
        </w:rPr>
        <w:t>scenario</w:t>
      </w:r>
      <w:r w:rsidR="00B70EC3" w:rsidRPr="006E5F12">
        <w:rPr>
          <w:color w:val="000000"/>
          <w:sz w:val="22"/>
          <w:szCs w:val="22"/>
        </w:rPr>
        <w:t>s on the herring fleet, and mapping the economic groups and flows for Sitka.</w:t>
      </w:r>
    </w:p>
    <w:p w14:paraId="7FDFA795" w14:textId="01097133" w:rsidR="00B70EC3" w:rsidRPr="00027789" w:rsidRDefault="00373F0D" w:rsidP="00027789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027789">
        <w:rPr>
          <w:color w:val="000000"/>
          <w:sz w:val="22"/>
          <w:szCs w:val="22"/>
        </w:rPr>
        <w:t xml:space="preserve">Potential </w:t>
      </w:r>
      <w:r w:rsidRPr="00027789">
        <w:rPr>
          <w:b/>
          <w:color w:val="000000"/>
          <w:sz w:val="22"/>
          <w:szCs w:val="22"/>
        </w:rPr>
        <w:t xml:space="preserve">attributes to </w:t>
      </w:r>
      <w:r w:rsidR="00027789">
        <w:rPr>
          <w:b/>
          <w:color w:val="000000"/>
          <w:sz w:val="22"/>
          <w:szCs w:val="22"/>
        </w:rPr>
        <w:t>use in linking</w:t>
      </w:r>
      <w:r w:rsidRPr="00027789">
        <w:rPr>
          <w:b/>
          <w:color w:val="000000"/>
          <w:sz w:val="22"/>
          <w:szCs w:val="22"/>
        </w:rPr>
        <w:t xml:space="preserve"> governance systems</w:t>
      </w:r>
      <w:r w:rsidR="00027789">
        <w:rPr>
          <w:b/>
          <w:color w:val="000000"/>
          <w:sz w:val="22"/>
          <w:szCs w:val="22"/>
        </w:rPr>
        <w:t xml:space="preserve"> to probability of conflict</w:t>
      </w:r>
      <w:r w:rsidR="00027789">
        <w:rPr>
          <w:color w:val="000000"/>
          <w:sz w:val="22"/>
          <w:szCs w:val="22"/>
        </w:rPr>
        <w:t xml:space="preserve"> in fisheries</w:t>
      </w:r>
      <w:r w:rsidRPr="00027789">
        <w:rPr>
          <w:color w:val="000000"/>
          <w:sz w:val="22"/>
          <w:szCs w:val="22"/>
        </w:rPr>
        <w:t xml:space="preserve"> were identified, including legitimacy, accountability, access, trust, participation in decision making, and knowledge transfer. </w:t>
      </w:r>
    </w:p>
    <w:p w14:paraId="5F8A77AD" w14:textId="77777777" w:rsidR="00335350" w:rsidRPr="008B3C73" w:rsidRDefault="00335350" w:rsidP="00373F0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B777DA" w14:textId="4A8B855B" w:rsidR="00902BBC" w:rsidRPr="008B3C73" w:rsidRDefault="00027789" w:rsidP="0002778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 addition, t</w:t>
      </w:r>
      <w:r w:rsidR="00335350" w:rsidRPr="008B3C73">
        <w:rPr>
          <w:rFonts w:ascii="Times New Roman" w:hAnsi="Times New Roman"/>
          <w:color w:val="000000"/>
          <w:sz w:val="22"/>
          <w:szCs w:val="22"/>
        </w:rPr>
        <w:t xml:space="preserve">he group identified many </w:t>
      </w:r>
      <w:r w:rsidR="00335350" w:rsidRPr="00027789">
        <w:rPr>
          <w:rFonts w:ascii="Times New Roman" w:hAnsi="Times New Roman"/>
          <w:b/>
          <w:color w:val="000000"/>
          <w:sz w:val="22"/>
          <w:szCs w:val="22"/>
        </w:rPr>
        <w:t>opportunities to incorporate traditional and local knowledge into the modeling and analyses</w:t>
      </w:r>
      <w:r w:rsidR="00335350" w:rsidRPr="008B3C73">
        <w:rPr>
          <w:rFonts w:ascii="Times New Roman" w:hAnsi="Times New Roman"/>
          <w:color w:val="000000"/>
          <w:sz w:val="22"/>
          <w:szCs w:val="22"/>
        </w:rPr>
        <w:t>, including: in hypotheses about herring stock structure and behavior; to develop management si</w:t>
      </w:r>
      <w:r>
        <w:rPr>
          <w:rFonts w:ascii="Times New Roman" w:hAnsi="Times New Roman"/>
          <w:color w:val="000000"/>
          <w:sz w:val="22"/>
          <w:szCs w:val="22"/>
        </w:rPr>
        <w:t>mulation scenarios about where and</w:t>
      </w:r>
      <w:r w:rsidR="00335350" w:rsidRPr="008B3C73">
        <w:rPr>
          <w:rFonts w:ascii="Times New Roman" w:hAnsi="Times New Roman"/>
          <w:color w:val="000000"/>
          <w:sz w:val="22"/>
          <w:szCs w:val="22"/>
        </w:rPr>
        <w:t xml:space="preserve"> when to fish; to develop ecological model scenarios</w:t>
      </w:r>
      <w:r>
        <w:rPr>
          <w:rFonts w:ascii="Times New Roman" w:hAnsi="Times New Roman"/>
          <w:color w:val="000000"/>
          <w:sz w:val="22"/>
          <w:szCs w:val="22"/>
        </w:rPr>
        <w:t>, and</w:t>
      </w:r>
      <w:r w:rsidR="00335350" w:rsidRPr="008B3C73">
        <w:rPr>
          <w:rFonts w:ascii="Times New Roman" w:hAnsi="Times New Roman"/>
          <w:color w:val="000000"/>
          <w:sz w:val="22"/>
          <w:szCs w:val="22"/>
        </w:rPr>
        <w:t>; to inform spatial distribution of spawning and stocks.</w:t>
      </w:r>
    </w:p>
    <w:p w14:paraId="2627CE65" w14:textId="77777777" w:rsidR="00902BBC" w:rsidRPr="008B3C73" w:rsidRDefault="00902BBC" w:rsidP="00E37E9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373E872A" w14:textId="49D13A04" w:rsidR="00902BBC" w:rsidRPr="008B3C73" w:rsidRDefault="00902BBC" w:rsidP="00E37E9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Key goals before the 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 xml:space="preserve">next </w:t>
      </w:r>
      <w:r w:rsidRPr="008B3C73">
        <w:rPr>
          <w:rFonts w:ascii="Times New Roman" w:hAnsi="Times New Roman"/>
          <w:color w:val="000000"/>
          <w:sz w:val="22"/>
          <w:szCs w:val="22"/>
        </w:rPr>
        <w:t>group meet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>ing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F6115" w:rsidRPr="008B3C73">
        <w:rPr>
          <w:rFonts w:ascii="Times New Roman" w:hAnsi="Times New Roman"/>
          <w:color w:val="000000"/>
          <w:sz w:val="22"/>
          <w:szCs w:val="22"/>
        </w:rPr>
        <w:t xml:space="preserve">to be held </w:t>
      </w:r>
      <w:r w:rsidR="00E16E8E">
        <w:rPr>
          <w:rFonts w:ascii="Times New Roman" w:hAnsi="Times New Roman"/>
          <w:color w:val="000000"/>
          <w:sz w:val="22"/>
          <w:szCs w:val="22"/>
        </w:rPr>
        <w:t>December 7-9, 2016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 xml:space="preserve">, in </w:t>
      </w:r>
      <w:r w:rsidRPr="008B3C73">
        <w:rPr>
          <w:rFonts w:ascii="Times New Roman" w:hAnsi="Times New Roman"/>
          <w:color w:val="000000"/>
          <w:sz w:val="22"/>
          <w:szCs w:val="22"/>
        </w:rPr>
        <w:t>S</w:t>
      </w:r>
      <w:r w:rsidR="00E16E8E">
        <w:rPr>
          <w:rFonts w:ascii="Times New Roman" w:hAnsi="Times New Roman"/>
          <w:color w:val="000000"/>
          <w:sz w:val="22"/>
          <w:szCs w:val="22"/>
        </w:rPr>
        <w:t>eattle, Washington,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include:</w:t>
      </w:r>
    </w:p>
    <w:p w14:paraId="0B17ED6D" w14:textId="2336EF18" w:rsidR="00902BBC" w:rsidRPr="008B3C73" w:rsidRDefault="00027789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Finalize the approach for linking governance characteristics to sustainability of fisheries social-ecological systems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>;</w:t>
      </w:r>
    </w:p>
    <w:p w14:paraId="0EAA6D36" w14:textId="08920C0E" w:rsidR="00902BBC" w:rsidRPr="008B3C73" w:rsidRDefault="00902BBC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Continue to develop </w:t>
      </w:r>
      <w:r w:rsidR="00446AEE" w:rsidRPr="008B3C73">
        <w:rPr>
          <w:rFonts w:ascii="Times New Roman" w:hAnsi="Times New Roman"/>
          <w:color w:val="000000"/>
          <w:sz w:val="22"/>
          <w:szCs w:val="22"/>
        </w:rPr>
        <w:t>a paper</w:t>
      </w:r>
      <w:r w:rsidRPr="008B3C73">
        <w:rPr>
          <w:rFonts w:ascii="Times New Roman" w:hAnsi="Times New Roman"/>
          <w:color w:val="000000"/>
          <w:sz w:val="22"/>
          <w:szCs w:val="22"/>
        </w:rPr>
        <w:t xml:space="preserve"> comparing governance in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Haida</w:t>
      </w:r>
      <w:proofErr w:type="spellEnd"/>
      <w:r w:rsidRPr="008B3C7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Gwaii</w:t>
      </w:r>
      <w:proofErr w:type="spellEnd"/>
      <w:r w:rsidRPr="008B3C73">
        <w:rPr>
          <w:rFonts w:ascii="Times New Roman" w:hAnsi="Times New Roman"/>
          <w:color w:val="000000"/>
          <w:sz w:val="22"/>
          <w:szCs w:val="22"/>
        </w:rPr>
        <w:t xml:space="preserve"> and Sitka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>;</w:t>
      </w:r>
    </w:p>
    <w:p w14:paraId="14699BDF" w14:textId="7BFCDB0D" w:rsidR="00902BBC" w:rsidRPr="008B3C73" w:rsidRDefault="00027789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Run simulations evaluating multiple management scenarios for distribution and abundance of herring;</w:t>
      </w:r>
    </w:p>
    <w:p w14:paraId="6000F419" w14:textId="6F5CE6A3" w:rsidR="00902BBC" w:rsidRPr="008B3C73" w:rsidRDefault="00027789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Map herring</w:t>
      </w:r>
      <w:r w:rsidR="00902BBC" w:rsidRPr="008B3C73">
        <w:rPr>
          <w:rFonts w:ascii="Times New Roman" w:hAnsi="Times New Roman"/>
          <w:color w:val="000000"/>
          <w:sz w:val="22"/>
          <w:szCs w:val="22"/>
        </w:rPr>
        <w:t xml:space="preserve"> fishing operations and economic benefit flows</w:t>
      </w:r>
      <w:r>
        <w:rPr>
          <w:rFonts w:ascii="Times New Roman" w:hAnsi="Times New Roman"/>
          <w:color w:val="000000"/>
          <w:sz w:val="22"/>
          <w:szCs w:val="22"/>
        </w:rPr>
        <w:t xml:space="preserve"> in Sitka</w:t>
      </w:r>
      <w:r w:rsidR="00C95845" w:rsidRPr="008B3C73">
        <w:rPr>
          <w:rFonts w:ascii="Times New Roman" w:hAnsi="Times New Roman"/>
          <w:color w:val="000000"/>
          <w:sz w:val="22"/>
          <w:szCs w:val="22"/>
        </w:rPr>
        <w:t>;</w:t>
      </w:r>
    </w:p>
    <w:p w14:paraId="0B906E89" w14:textId="37EC9706" w:rsidR="00902BBC" w:rsidRPr="008B3C73" w:rsidRDefault="00902BBC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B3C73">
        <w:rPr>
          <w:rFonts w:ascii="Times New Roman" w:hAnsi="Times New Roman"/>
          <w:color w:val="000000"/>
          <w:sz w:val="22"/>
          <w:szCs w:val="22"/>
        </w:rPr>
        <w:t xml:space="preserve">Model spawn occurrence for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Haida</w:t>
      </w:r>
      <w:proofErr w:type="spellEnd"/>
      <w:r w:rsidRPr="008B3C7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3C73">
        <w:rPr>
          <w:rFonts w:ascii="Times New Roman" w:hAnsi="Times New Roman"/>
          <w:color w:val="000000"/>
          <w:sz w:val="22"/>
          <w:szCs w:val="22"/>
        </w:rPr>
        <w:t>Gwaii</w:t>
      </w:r>
      <w:proofErr w:type="spellEnd"/>
      <w:r w:rsidR="00C95845" w:rsidRPr="008B3C73">
        <w:rPr>
          <w:rFonts w:ascii="Times New Roman" w:hAnsi="Times New Roman"/>
          <w:color w:val="000000"/>
          <w:sz w:val="22"/>
          <w:szCs w:val="22"/>
        </w:rPr>
        <w:t>; and</w:t>
      </w:r>
    </w:p>
    <w:p w14:paraId="2AE08292" w14:textId="6691EF0D" w:rsidR="00902BBC" w:rsidRPr="008B3C73" w:rsidRDefault="00213F47" w:rsidP="00C9584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Further d</w:t>
      </w:r>
      <w:r w:rsidR="00446AEE" w:rsidRPr="008B3C73">
        <w:rPr>
          <w:rFonts w:ascii="Times New Roman" w:hAnsi="Times New Roman"/>
          <w:color w:val="000000"/>
          <w:sz w:val="22"/>
          <w:szCs w:val="22"/>
        </w:rPr>
        <w:t xml:space="preserve">evelop a </w:t>
      </w:r>
      <w:r w:rsidR="00321764" w:rsidRPr="008B3C73">
        <w:rPr>
          <w:rFonts w:ascii="Times New Roman" w:hAnsi="Times New Roman"/>
          <w:color w:val="000000"/>
          <w:sz w:val="22"/>
          <w:szCs w:val="22"/>
        </w:rPr>
        <w:t xml:space="preserve">new </w:t>
      </w:r>
      <w:r w:rsidR="00446AEE" w:rsidRPr="008B3C73">
        <w:rPr>
          <w:rFonts w:ascii="Times New Roman" w:hAnsi="Times New Roman"/>
          <w:color w:val="000000"/>
          <w:sz w:val="22"/>
          <w:szCs w:val="22"/>
        </w:rPr>
        <w:t xml:space="preserve">spatially-explicit herring stock assessment </w:t>
      </w:r>
      <w:r w:rsidR="00902BBC" w:rsidRPr="008B3C73">
        <w:rPr>
          <w:rFonts w:ascii="Times New Roman" w:hAnsi="Times New Roman"/>
          <w:color w:val="000000"/>
          <w:sz w:val="22"/>
          <w:szCs w:val="22"/>
        </w:rPr>
        <w:t xml:space="preserve">model </w:t>
      </w:r>
      <w:r w:rsidR="00446AEE" w:rsidRPr="008B3C73">
        <w:rPr>
          <w:rFonts w:ascii="Times New Roman" w:hAnsi="Times New Roman"/>
          <w:color w:val="000000"/>
          <w:sz w:val="22"/>
          <w:szCs w:val="22"/>
        </w:rPr>
        <w:t xml:space="preserve">that is fitted to </w:t>
      </w:r>
      <w:r w:rsidR="00902BBC" w:rsidRPr="008B3C73">
        <w:rPr>
          <w:rFonts w:ascii="Times New Roman" w:hAnsi="Times New Roman"/>
          <w:color w:val="000000"/>
          <w:sz w:val="22"/>
          <w:szCs w:val="22"/>
        </w:rPr>
        <w:t>data from BC and AK.</w:t>
      </w:r>
    </w:p>
    <w:p w14:paraId="34367C14" w14:textId="77777777" w:rsidR="00902BBC" w:rsidRPr="008B3C73" w:rsidRDefault="00902BBC" w:rsidP="00E37E9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1C83C201" w14:textId="078CBEE3" w:rsidR="000C15AC" w:rsidRPr="008B3C73" w:rsidRDefault="000C15AC" w:rsidP="00213F47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sectPr w:rsidR="000C15AC" w:rsidRPr="008B3C73" w:rsidSect="002D035C">
      <w:footerReference w:type="even" r:id="rId7"/>
      <w:footerReference w:type="default" r:id="rId8"/>
      <w:headerReference w:type="first" r:id="rId9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D3B58" w14:textId="77777777" w:rsidR="00422CA4" w:rsidRDefault="00422CA4" w:rsidP="00EB473C">
      <w:r>
        <w:separator/>
      </w:r>
    </w:p>
  </w:endnote>
  <w:endnote w:type="continuationSeparator" w:id="0">
    <w:p w14:paraId="63E6A5B4" w14:textId="77777777" w:rsidR="00422CA4" w:rsidRDefault="00422CA4" w:rsidP="00E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AF41" w14:textId="77777777" w:rsidR="00312F14" w:rsidRDefault="00312F14" w:rsidP="00816D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D82BF" w14:textId="77777777" w:rsidR="00312F14" w:rsidRDefault="00312F14" w:rsidP="00312F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70FC" w14:textId="77777777" w:rsidR="00312F14" w:rsidRDefault="00312F14" w:rsidP="00816D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7A2B35" w14:textId="77777777" w:rsidR="00312F14" w:rsidRDefault="00312F14" w:rsidP="00312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742E" w14:textId="77777777" w:rsidR="00422CA4" w:rsidRDefault="00422CA4" w:rsidP="00EB473C">
      <w:r>
        <w:separator/>
      </w:r>
    </w:p>
  </w:footnote>
  <w:footnote w:type="continuationSeparator" w:id="0">
    <w:p w14:paraId="4CF5717A" w14:textId="77777777" w:rsidR="00422CA4" w:rsidRDefault="00422CA4" w:rsidP="00EB4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9623" w14:textId="1E7A5E35" w:rsidR="003F6115" w:rsidRDefault="003F6115">
    <w:pPr>
      <w:pStyle w:val="Header"/>
    </w:pPr>
    <w:r>
      <w:rPr>
        <w:noProof/>
      </w:rPr>
      <w:drawing>
        <wp:inline distT="0" distB="0" distL="0" distR="0" wp14:anchorId="577CEA20" wp14:editId="6E2EA36A">
          <wp:extent cx="5410835" cy="6883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D6B"/>
    <w:multiLevelType w:val="hybridMultilevel"/>
    <w:tmpl w:val="01E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6793"/>
    <w:multiLevelType w:val="hybridMultilevel"/>
    <w:tmpl w:val="5A1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C90"/>
    <w:multiLevelType w:val="multilevel"/>
    <w:tmpl w:val="5066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324BE"/>
    <w:multiLevelType w:val="hybridMultilevel"/>
    <w:tmpl w:val="4246DD98"/>
    <w:lvl w:ilvl="0" w:tplc="B118720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97CA9"/>
    <w:multiLevelType w:val="multilevel"/>
    <w:tmpl w:val="888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A516F"/>
    <w:multiLevelType w:val="multilevel"/>
    <w:tmpl w:val="9388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401A2"/>
    <w:multiLevelType w:val="hybridMultilevel"/>
    <w:tmpl w:val="9B9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57B37"/>
    <w:multiLevelType w:val="hybridMultilevel"/>
    <w:tmpl w:val="779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3C"/>
    <w:rsid w:val="00027789"/>
    <w:rsid w:val="00055A27"/>
    <w:rsid w:val="000C15AC"/>
    <w:rsid w:val="00132A85"/>
    <w:rsid w:val="001A73F2"/>
    <w:rsid w:val="001C11F5"/>
    <w:rsid w:val="00213F47"/>
    <w:rsid w:val="0022161D"/>
    <w:rsid w:val="00292D98"/>
    <w:rsid w:val="002A3202"/>
    <w:rsid w:val="002D035C"/>
    <w:rsid w:val="002F10EF"/>
    <w:rsid w:val="00312F14"/>
    <w:rsid w:val="00321764"/>
    <w:rsid w:val="00335350"/>
    <w:rsid w:val="00355CDE"/>
    <w:rsid w:val="003610C6"/>
    <w:rsid w:val="00373F0D"/>
    <w:rsid w:val="003826BA"/>
    <w:rsid w:val="003D2ADB"/>
    <w:rsid w:val="003D5FF1"/>
    <w:rsid w:val="003F6115"/>
    <w:rsid w:val="00422CA4"/>
    <w:rsid w:val="004309A7"/>
    <w:rsid w:val="00430B5D"/>
    <w:rsid w:val="00432928"/>
    <w:rsid w:val="00446AEE"/>
    <w:rsid w:val="004A5EF1"/>
    <w:rsid w:val="00506060"/>
    <w:rsid w:val="005F0570"/>
    <w:rsid w:val="00605051"/>
    <w:rsid w:val="00632CC8"/>
    <w:rsid w:val="00684D9A"/>
    <w:rsid w:val="006936F9"/>
    <w:rsid w:val="006E5F12"/>
    <w:rsid w:val="00734355"/>
    <w:rsid w:val="0075454E"/>
    <w:rsid w:val="00792F38"/>
    <w:rsid w:val="007C6B11"/>
    <w:rsid w:val="008118FE"/>
    <w:rsid w:val="00836703"/>
    <w:rsid w:val="00891D8D"/>
    <w:rsid w:val="00896EA8"/>
    <w:rsid w:val="008B3C73"/>
    <w:rsid w:val="008F293C"/>
    <w:rsid w:val="00902BBC"/>
    <w:rsid w:val="009249A2"/>
    <w:rsid w:val="00952296"/>
    <w:rsid w:val="009B04FF"/>
    <w:rsid w:val="009E66FE"/>
    <w:rsid w:val="00A26AF8"/>
    <w:rsid w:val="00A314E0"/>
    <w:rsid w:val="00A83491"/>
    <w:rsid w:val="00AC6177"/>
    <w:rsid w:val="00B54011"/>
    <w:rsid w:val="00B70EC3"/>
    <w:rsid w:val="00B930AB"/>
    <w:rsid w:val="00C254B3"/>
    <w:rsid w:val="00C86B32"/>
    <w:rsid w:val="00C95845"/>
    <w:rsid w:val="00CA501D"/>
    <w:rsid w:val="00CA75B4"/>
    <w:rsid w:val="00D4644B"/>
    <w:rsid w:val="00DC3594"/>
    <w:rsid w:val="00E16E8E"/>
    <w:rsid w:val="00E37E94"/>
    <w:rsid w:val="00EB1748"/>
    <w:rsid w:val="00EB473C"/>
    <w:rsid w:val="00F661BF"/>
    <w:rsid w:val="00FC0EC6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6C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73C"/>
  </w:style>
  <w:style w:type="paragraph" w:styleId="Heading1">
    <w:name w:val="heading 1"/>
    <w:basedOn w:val="Normal"/>
    <w:link w:val="Heading1Char"/>
    <w:uiPriority w:val="9"/>
    <w:qFormat/>
    <w:rsid w:val="00EB1748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3C"/>
  </w:style>
  <w:style w:type="paragraph" w:styleId="Footer">
    <w:name w:val="footer"/>
    <w:basedOn w:val="Normal"/>
    <w:link w:val="FooterChar"/>
    <w:uiPriority w:val="99"/>
    <w:unhideWhenUsed/>
    <w:rsid w:val="00EB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3C"/>
  </w:style>
  <w:style w:type="table" w:styleId="TableGrid">
    <w:name w:val="Table Grid"/>
    <w:basedOn w:val="TableNormal"/>
    <w:uiPriority w:val="39"/>
    <w:rsid w:val="00CA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15A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4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48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1748"/>
    <w:rPr>
      <w:rFonts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E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1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Francis</dc:creator>
  <cp:keywords/>
  <dc:description/>
  <cp:lastModifiedBy>Tessa Francis</cp:lastModifiedBy>
  <cp:revision>3</cp:revision>
  <dcterms:created xsi:type="dcterms:W3CDTF">2016-10-19T13:34:00Z</dcterms:created>
  <dcterms:modified xsi:type="dcterms:W3CDTF">2016-10-19T13:36:00Z</dcterms:modified>
</cp:coreProperties>
</file>